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103E2" w14:textId="77777777" w:rsidR="00E44342" w:rsidRDefault="00E44342" w:rsidP="006045E0">
      <w:pPr>
        <w:jc w:val="center"/>
        <w:rPr>
          <w:rFonts w:ascii="Corbel" w:hAnsi="Corbel"/>
          <w:b/>
          <w:sz w:val="28"/>
          <w:szCs w:val="28"/>
          <w:lang w:val="sr-Latn-RS"/>
        </w:rPr>
      </w:pPr>
    </w:p>
    <w:p w14:paraId="4D93A793" w14:textId="4A781115" w:rsidR="00927DB0" w:rsidRDefault="005C576E" w:rsidP="00857F12">
      <w:pPr>
        <w:jc w:val="center"/>
        <w:rPr>
          <w:rFonts w:ascii="Corbel" w:hAnsi="Corbel"/>
          <w:b/>
          <w:sz w:val="28"/>
          <w:szCs w:val="28"/>
          <w:lang w:val="sr-Latn-RS"/>
        </w:rPr>
      </w:pPr>
      <w:r>
        <w:rPr>
          <w:rFonts w:ascii="Corbel" w:hAnsi="Corbel"/>
          <w:b/>
          <w:sz w:val="28"/>
          <w:szCs w:val="28"/>
          <w:lang w:val="sr-Latn-RS"/>
        </w:rPr>
        <w:t>Projekat „Ka boljem upravljanju otpadom od hrane u Republici Srbiji“</w:t>
      </w:r>
    </w:p>
    <w:p w14:paraId="7B22E734" w14:textId="050CA936" w:rsidR="005C576E" w:rsidRDefault="005C576E" w:rsidP="00857F12">
      <w:pPr>
        <w:jc w:val="center"/>
        <w:rPr>
          <w:rFonts w:ascii="Corbel" w:hAnsi="Corbel"/>
          <w:b/>
          <w:sz w:val="28"/>
          <w:szCs w:val="28"/>
          <w:lang w:val="sr-Latn-RS"/>
        </w:rPr>
      </w:pPr>
      <w:r>
        <w:rPr>
          <w:rFonts w:ascii="Corbel" w:hAnsi="Corbel"/>
          <w:b/>
          <w:sz w:val="28"/>
          <w:szCs w:val="28"/>
          <w:lang w:val="sr-Latn-RS"/>
        </w:rPr>
        <w:t>Brif</w:t>
      </w:r>
    </w:p>
    <w:p w14:paraId="7A9E6036" w14:textId="77777777" w:rsidR="009F295A" w:rsidRPr="00942DFB" w:rsidRDefault="009F295A" w:rsidP="006045E0">
      <w:pPr>
        <w:jc w:val="center"/>
        <w:rPr>
          <w:rFonts w:ascii="Corbel" w:hAnsi="Corbel"/>
          <w:lang w:val="sr-Latn-RS"/>
        </w:rPr>
      </w:pPr>
    </w:p>
    <w:p w14:paraId="02F75840" w14:textId="77777777" w:rsidR="005C576E" w:rsidRDefault="005C576E" w:rsidP="00592E8B">
      <w:pPr>
        <w:jc w:val="both"/>
        <w:rPr>
          <w:rFonts w:ascii="Corbel" w:hAnsi="Corbel"/>
          <w:b/>
          <w:lang w:val="sr-Latn-RS"/>
        </w:rPr>
      </w:pPr>
    </w:p>
    <w:p w14:paraId="5C5B6BFD" w14:textId="26E77EA4" w:rsidR="005C576E" w:rsidRPr="005C576E" w:rsidRDefault="005C576E" w:rsidP="001E607A">
      <w:pPr>
        <w:jc w:val="both"/>
        <w:rPr>
          <w:rFonts w:ascii="Corbel" w:hAnsi="Corbel"/>
          <w:b/>
          <w:lang w:val="sr-Latn-RS"/>
        </w:rPr>
      </w:pPr>
      <w:r w:rsidRPr="005C576E">
        <w:rPr>
          <w:rFonts w:ascii="Corbel" w:hAnsi="Corbel"/>
          <w:b/>
          <w:lang w:val="sr-Latn-RS"/>
        </w:rPr>
        <w:t>O projektu</w:t>
      </w:r>
    </w:p>
    <w:p w14:paraId="61AEF078" w14:textId="77777777" w:rsidR="00CC1BD8" w:rsidRDefault="00CC1BD8" w:rsidP="001E607A">
      <w:pPr>
        <w:jc w:val="both"/>
        <w:rPr>
          <w:rFonts w:ascii="Corbel" w:hAnsi="Corbel"/>
          <w:sz w:val="22"/>
          <w:szCs w:val="22"/>
          <w:lang w:val="sr-Latn-RS"/>
        </w:rPr>
      </w:pPr>
    </w:p>
    <w:p w14:paraId="45F78A7C" w14:textId="77777777" w:rsidR="00AC4F7B" w:rsidRDefault="00AC4F7B" w:rsidP="001E607A">
      <w:pPr>
        <w:jc w:val="both"/>
        <w:rPr>
          <w:rFonts w:ascii="Corbel" w:hAnsi="Corbel"/>
          <w:sz w:val="22"/>
          <w:szCs w:val="22"/>
          <w:lang w:val="sr-Latn-RS"/>
        </w:rPr>
      </w:pPr>
    </w:p>
    <w:p w14:paraId="448885F2" w14:textId="6D28A2D0" w:rsidR="00AC4F7B" w:rsidRDefault="00AC4F7B" w:rsidP="001E607A">
      <w:pPr>
        <w:jc w:val="both"/>
        <w:rPr>
          <w:rFonts w:ascii="Corbel" w:hAnsi="Corbel"/>
          <w:sz w:val="22"/>
          <w:szCs w:val="22"/>
          <w:lang w:val="sr-Latn-RS"/>
        </w:rPr>
      </w:pPr>
      <w:r>
        <w:rPr>
          <w:rFonts w:ascii="Corbel" w:hAnsi="Corbel"/>
          <w:sz w:val="22"/>
          <w:szCs w:val="22"/>
          <w:lang w:val="sr-Latn-RS"/>
        </w:rPr>
        <w:t>Ciljevi projekta su:</w:t>
      </w:r>
    </w:p>
    <w:p w14:paraId="14431927" w14:textId="77777777" w:rsidR="00AC4F7B" w:rsidRDefault="00AC4F7B" w:rsidP="001E607A">
      <w:pPr>
        <w:jc w:val="both"/>
        <w:rPr>
          <w:rFonts w:ascii="Corbel" w:hAnsi="Corbel"/>
          <w:sz w:val="22"/>
          <w:szCs w:val="22"/>
          <w:lang w:val="sr-Latn-RS"/>
        </w:rPr>
      </w:pPr>
    </w:p>
    <w:p w14:paraId="671FD2AB" w14:textId="006842BA" w:rsidR="00AC4F7B" w:rsidRPr="00AC4F7B" w:rsidRDefault="00AC4F7B" w:rsidP="00AC4F7B">
      <w:pPr>
        <w:pStyle w:val="ListParagraph"/>
        <w:numPr>
          <w:ilvl w:val="0"/>
          <w:numId w:val="2"/>
        </w:numPr>
        <w:jc w:val="both"/>
        <w:rPr>
          <w:rFonts w:ascii="Corbel" w:hAnsi="Corbel"/>
          <w:sz w:val="22"/>
          <w:szCs w:val="22"/>
          <w:lang w:val="sr-Latn-RS"/>
        </w:rPr>
      </w:pPr>
      <w:r w:rsidRPr="00AC4F7B">
        <w:rPr>
          <w:rFonts w:ascii="Corbel" w:hAnsi="Corbel"/>
          <w:sz w:val="22"/>
          <w:szCs w:val="22"/>
          <w:lang w:val="sr-Latn-RS"/>
        </w:rPr>
        <w:t>Stvaranje uslova za regulatorne promene;</w:t>
      </w:r>
    </w:p>
    <w:p w14:paraId="4AE1DCD6" w14:textId="3AD4930A" w:rsidR="00AC4F7B" w:rsidRPr="00AC4F7B" w:rsidRDefault="00AC4F7B" w:rsidP="00AC4F7B">
      <w:pPr>
        <w:pStyle w:val="ListParagraph"/>
        <w:numPr>
          <w:ilvl w:val="0"/>
          <w:numId w:val="2"/>
        </w:numPr>
        <w:jc w:val="both"/>
        <w:rPr>
          <w:rFonts w:ascii="Corbel" w:hAnsi="Corbel"/>
          <w:sz w:val="22"/>
          <w:szCs w:val="22"/>
          <w:lang w:val="sr-Latn-RS"/>
        </w:rPr>
      </w:pPr>
      <w:r w:rsidRPr="00AC4F7B">
        <w:rPr>
          <w:rFonts w:ascii="Corbel" w:hAnsi="Corbel"/>
          <w:sz w:val="22"/>
          <w:szCs w:val="22"/>
          <w:lang w:val="sr-Latn-RS"/>
        </w:rPr>
        <w:t>Podizanje svesti o značaju zaštite životne sredine kroz pravilno upravljanje otpadom od hrane;</w:t>
      </w:r>
    </w:p>
    <w:p w14:paraId="55E1DB1A" w14:textId="0819CCB1" w:rsidR="00AC4F7B" w:rsidRPr="00AC4F7B" w:rsidRDefault="00AC4F7B" w:rsidP="00AC4F7B">
      <w:pPr>
        <w:pStyle w:val="ListParagraph"/>
        <w:numPr>
          <w:ilvl w:val="0"/>
          <w:numId w:val="2"/>
        </w:numPr>
        <w:jc w:val="both"/>
        <w:rPr>
          <w:rFonts w:ascii="Corbel" w:hAnsi="Corbel"/>
          <w:sz w:val="22"/>
          <w:szCs w:val="22"/>
          <w:lang w:val="sr-Latn-RS"/>
        </w:rPr>
      </w:pPr>
      <w:r w:rsidRPr="00AC4F7B">
        <w:rPr>
          <w:rFonts w:ascii="Corbel" w:hAnsi="Corbel"/>
          <w:sz w:val="22"/>
          <w:szCs w:val="22"/>
          <w:lang w:val="sr-Latn-RS"/>
        </w:rPr>
        <w:t>Informisanje institucija i javnosti o pravilnom prikupljanju i tretmanu otpada od hrane. Komunikacija usmerena ka velikim proizvođačima otpada – hoteli, restorani, kafići i druge javne institucije u kojima se priprema hrana;</w:t>
      </w:r>
    </w:p>
    <w:p w14:paraId="4AFB07DD" w14:textId="60CE4CEF" w:rsidR="00AC4F7B" w:rsidRDefault="00AC4F7B" w:rsidP="00AC4F7B">
      <w:pPr>
        <w:pStyle w:val="ListParagraph"/>
        <w:numPr>
          <w:ilvl w:val="0"/>
          <w:numId w:val="2"/>
        </w:numPr>
        <w:jc w:val="both"/>
        <w:rPr>
          <w:rFonts w:ascii="Corbel" w:hAnsi="Corbel"/>
          <w:sz w:val="22"/>
          <w:szCs w:val="22"/>
          <w:lang w:val="sr-Latn-RS"/>
        </w:rPr>
      </w:pPr>
      <w:r w:rsidRPr="00AC4F7B">
        <w:rPr>
          <w:rFonts w:ascii="Corbel" w:hAnsi="Corbel"/>
          <w:sz w:val="22"/>
          <w:szCs w:val="22"/>
          <w:lang w:val="sr-Latn-RS"/>
        </w:rPr>
        <w:t>Informisanje institucija i javnosti o cirkularnoj ekonomiji kroz pravilnu separaciju otpada.</w:t>
      </w:r>
    </w:p>
    <w:p w14:paraId="14F08316" w14:textId="77777777" w:rsidR="00AF3C75" w:rsidRDefault="00AF3C75" w:rsidP="00AF3C75">
      <w:pPr>
        <w:jc w:val="both"/>
        <w:rPr>
          <w:rFonts w:ascii="Corbel" w:hAnsi="Corbel"/>
          <w:sz w:val="22"/>
          <w:szCs w:val="22"/>
          <w:lang w:val="sr-Latn-RS"/>
        </w:rPr>
      </w:pPr>
    </w:p>
    <w:p w14:paraId="275F8A45" w14:textId="4BF7C795" w:rsidR="00AF3C75" w:rsidRDefault="00AF3C75" w:rsidP="00AF3C75">
      <w:pPr>
        <w:jc w:val="both"/>
        <w:rPr>
          <w:rFonts w:ascii="Corbel" w:hAnsi="Corbel"/>
          <w:sz w:val="22"/>
          <w:szCs w:val="22"/>
          <w:lang w:val="sr-Latn-RS"/>
        </w:rPr>
      </w:pPr>
      <w:r>
        <w:rPr>
          <w:rFonts w:ascii="Corbel" w:hAnsi="Corbel"/>
          <w:sz w:val="22"/>
          <w:szCs w:val="22"/>
          <w:lang w:val="sr-Latn-RS"/>
        </w:rPr>
        <w:t>Pokazatelji uspešnosti projekta su:</w:t>
      </w:r>
    </w:p>
    <w:p w14:paraId="17484E7D" w14:textId="77777777" w:rsidR="00AF3C75" w:rsidRDefault="00AF3C75" w:rsidP="00AF3C75">
      <w:pPr>
        <w:jc w:val="both"/>
        <w:rPr>
          <w:rFonts w:ascii="Corbel" w:hAnsi="Corbel"/>
          <w:sz w:val="22"/>
          <w:szCs w:val="22"/>
          <w:lang w:val="sr-Latn-RS"/>
        </w:rPr>
      </w:pPr>
    </w:p>
    <w:p w14:paraId="163CCFA8" w14:textId="4D86FD23" w:rsidR="00AF3C75" w:rsidRPr="00AF3C75" w:rsidRDefault="00AF3C75" w:rsidP="00AF3C75">
      <w:pPr>
        <w:pStyle w:val="ListParagraph"/>
        <w:numPr>
          <w:ilvl w:val="0"/>
          <w:numId w:val="3"/>
        </w:numPr>
        <w:jc w:val="both"/>
        <w:rPr>
          <w:rFonts w:ascii="Corbel" w:hAnsi="Corbel"/>
          <w:sz w:val="22"/>
          <w:szCs w:val="22"/>
          <w:lang w:val="sr-Latn-RS"/>
        </w:rPr>
      </w:pPr>
      <w:r w:rsidRPr="00AF3C75">
        <w:rPr>
          <w:rFonts w:ascii="Corbel" w:hAnsi="Corbel"/>
          <w:sz w:val="22"/>
          <w:szCs w:val="22"/>
          <w:lang w:val="sr-Latn-RS"/>
        </w:rPr>
        <w:t>Povećanje inspekcijskih savetodavnih poseta proizvođačima otpada od hrane (za 30%) u vezi sa primenom propisa o ovom otpadu;</w:t>
      </w:r>
    </w:p>
    <w:p w14:paraId="35F72065" w14:textId="4EAA1004" w:rsidR="00AF3C75" w:rsidRPr="00AF3C75" w:rsidRDefault="00AF3C75" w:rsidP="00AF3C75">
      <w:pPr>
        <w:pStyle w:val="ListParagraph"/>
        <w:numPr>
          <w:ilvl w:val="0"/>
          <w:numId w:val="3"/>
        </w:numPr>
        <w:jc w:val="both"/>
        <w:rPr>
          <w:rFonts w:ascii="Corbel" w:hAnsi="Corbel"/>
          <w:sz w:val="22"/>
          <w:szCs w:val="22"/>
          <w:lang w:val="sr-Latn-RS"/>
        </w:rPr>
      </w:pPr>
      <w:r w:rsidRPr="00AF3C75">
        <w:rPr>
          <w:rFonts w:ascii="Corbel" w:hAnsi="Corbel"/>
          <w:sz w:val="22"/>
          <w:szCs w:val="22"/>
          <w:lang w:val="sr-Latn-RS"/>
        </w:rPr>
        <w:t>Povećan broj proizvođača otpada od hrane (za 50%) koji poznaju procedure za odgovorno odlaganje ovog otpada;</w:t>
      </w:r>
    </w:p>
    <w:p w14:paraId="5F35D9A2" w14:textId="44C7B157" w:rsidR="007E7C81" w:rsidRPr="007E7C81" w:rsidRDefault="00AF3C75" w:rsidP="00AF3C75">
      <w:pPr>
        <w:pStyle w:val="ListParagraph"/>
        <w:numPr>
          <w:ilvl w:val="0"/>
          <w:numId w:val="3"/>
        </w:numPr>
        <w:jc w:val="both"/>
        <w:rPr>
          <w:rFonts w:ascii="Corbel" w:hAnsi="Corbel"/>
          <w:sz w:val="22"/>
          <w:szCs w:val="22"/>
          <w:lang w:val="sr-Latn-RS"/>
        </w:rPr>
      </w:pPr>
      <w:r w:rsidRPr="00AF3C75">
        <w:rPr>
          <w:rFonts w:ascii="Corbel" w:hAnsi="Corbel"/>
          <w:sz w:val="22"/>
          <w:szCs w:val="22"/>
          <w:lang w:val="sr-Latn-RS"/>
        </w:rPr>
        <w:t>tona otpada od hrane obrađeno od strane operatera, odnosno sakupljača otpada.</w:t>
      </w:r>
    </w:p>
    <w:p w14:paraId="2FEB038E" w14:textId="77777777" w:rsidR="007E7C81" w:rsidRDefault="007E7C81" w:rsidP="00AF3C75">
      <w:pPr>
        <w:jc w:val="both"/>
        <w:rPr>
          <w:rFonts w:ascii="Corbel" w:hAnsi="Corbel"/>
          <w:b/>
          <w:lang w:val="sr-Latn-RS"/>
        </w:rPr>
      </w:pPr>
    </w:p>
    <w:p w14:paraId="26F89B78" w14:textId="42089A4D" w:rsidR="00AF3C75" w:rsidRDefault="00AF3C75" w:rsidP="00AF3C75">
      <w:pPr>
        <w:jc w:val="both"/>
        <w:rPr>
          <w:rFonts w:ascii="Corbel" w:hAnsi="Corbel"/>
          <w:b/>
          <w:lang w:val="sr-Latn-RS"/>
        </w:rPr>
      </w:pPr>
      <w:r>
        <w:rPr>
          <w:rFonts w:ascii="Corbel" w:hAnsi="Corbel"/>
          <w:b/>
          <w:lang w:val="sr-Latn-RS"/>
        </w:rPr>
        <w:t>NALED-ove preporuke za unapređenje postojećeg sistema</w:t>
      </w:r>
    </w:p>
    <w:p w14:paraId="3649A340" w14:textId="77777777" w:rsidR="00AF3C75" w:rsidRDefault="00AF3C75" w:rsidP="00AF3C75">
      <w:pPr>
        <w:jc w:val="both"/>
        <w:rPr>
          <w:rFonts w:ascii="Corbel" w:hAnsi="Corbel"/>
          <w:b/>
          <w:lang w:val="sr-Latn-RS"/>
        </w:rPr>
      </w:pPr>
    </w:p>
    <w:p w14:paraId="385C6A0C" w14:textId="57562F62" w:rsidR="00AF3C75" w:rsidRDefault="00AF3C75" w:rsidP="00AF3C75">
      <w:pPr>
        <w:jc w:val="both"/>
        <w:rPr>
          <w:rFonts w:ascii="Corbel" w:hAnsi="Corbel"/>
          <w:sz w:val="22"/>
          <w:szCs w:val="22"/>
          <w:lang w:val="sr-Latn-RS"/>
        </w:rPr>
      </w:pPr>
      <w:r w:rsidRPr="00AF3C75">
        <w:rPr>
          <w:rFonts w:ascii="Corbel" w:hAnsi="Corbel"/>
          <w:sz w:val="22"/>
          <w:szCs w:val="22"/>
          <w:lang w:val="sr-Latn-RS"/>
        </w:rPr>
        <w:t xml:space="preserve">Paralelno sa postavljanjem posebnih kanti za odvajanje </w:t>
      </w:r>
      <w:r>
        <w:rPr>
          <w:rFonts w:ascii="Corbel" w:hAnsi="Corbel"/>
          <w:sz w:val="22"/>
          <w:szCs w:val="22"/>
          <w:lang w:val="sr-Latn-RS"/>
        </w:rPr>
        <w:t>o</w:t>
      </w:r>
      <w:r w:rsidRPr="00AF3C75">
        <w:rPr>
          <w:rFonts w:ascii="Corbel" w:hAnsi="Corbel"/>
          <w:sz w:val="22"/>
          <w:szCs w:val="22"/>
          <w:lang w:val="sr-Latn-RS"/>
        </w:rPr>
        <w:t>tpada</w:t>
      </w:r>
      <w:r>
        <w:rPr>
          <w:rFonts w:ascii="Corbel" w:hAnsi="Corbel"/>
          <w:sz w:val="22"/>
          <w:szCs w:val="22"/>
          <w:lang w:val="sr-Latn-RS"/>
        </w:rPr>
        <w:t xml:space="preserve"> od hrane</w:t>
      </w:r>
      <w:r w:rsidRPr="00AF3C75">
        <w:rPr>
          <w:rFonts w:ascii="Corbel" w:hAnsi="Corbel"/>
          <w:sz w:val="22"/>
          <w:szCs w:val="22"/>
          <w:lang w:val="sr-Latn-RS"/>
        </w:rPr>
        <w:t xml:space="preserve">, kao i edukovanjem proizvođača otpada o važnosti pravilnog tretiranja otpada, potrebno je </w:t>
      </w:r>
      <w:r w:rsidRPr="00AF3C75">
        <w:rPr>
          <w:rFonts w:ascii="Corbel" w:hAnsi="Corbel"/>
          <w:b/>
          <w:sz w:val="22"/>
          <w:szCs w:val="22"/>
          <w:lang w:val="sr-Latn-RS"/>
        </w:rPr>
        <w:t>kreirati sistem inspekcijskog nadzora</w:t>
      </w:r>
      <w:r w:rsidRPr="00AF3C75">
        <w:rPr>
          <w:rFonts w:ascii="Corbel" w:hAnsi="Corbel"/>
          <w:sz w:val="22"/>
          <w:szCs w:val="22"/>
          <w:lang w:val="sr-Latn-RS"/>
        </w:rPr>
        <w:t xml:space="preserve"> </w:t>
      </w:r>
      <w:r w:rsidRPr="00AF3C75">
        <w:rPr>
          <w:rFonts w:ascii="Corbel" w:hAnsi="Corbel"/>
          <w:b/>
          <w:sz w:val="22"/>
          <w:szCs w:val="22"/>
          <w:lang w:val="sr-Latn-RS"/>
        </w:rPr>
        <w:t>koji će osigurati da se regulativa primenjuje</w:t>
      </w:r>
      <w:r w:rsidRPr="00AF3C75">
        <w:rPr>
          <w:rFonts w:ascii="Corbel" w:hAnsi="Corbel"/>
          <w:sz w:val="22"/>
          <w:szCs w:val="22"/>
          <w:lang w:val="sr-Latn-RS"/>
        </w:rPr>
        <w:t xml:space="preserve"> i od strane proizvođača i od strane sakupljača otpada. </w:t>
      </w:r>
    </w:p>
    <w:p w14:paraId="34BD6D99" w14:textId="77777777" w:rsidR="00AF3C75" w:rsidRPr="00AF3C75" w:rsidRDefault="00AF3C75" w:rsidP="00AF3C75">
      <w:pPr>
        <w:jc w:val="both"/>
        <w:rPr>
          <w:rFonts w:ascii="Corbel" w:hAnsi="Corbel"/>
          <w:sz w:val="22"/>
          <w:szCs w:val="22"/>
          <w:lang w:val="sr-Latn-RS"/>
        </w:rPr>
      </w:pPr>
    </w:p>
    <w:p w14:paraId="5779F4E8" w14:textId="77777777" w:rsidR="00AF3C75" w:rsidRDefault="00AF3C75" w:rsidP="00AF3C75">
      <w:pPr>
        <w:jc w:val="both"/>
        <w:rPr>
          <w:rFonts w:ascii="Corbel" w:hAnsi="Corbel"/>
          <w:sz w:val="22"/>
          <w:szCs w:val="22"/>
          <w:lang w:val="sr-Latn-RS"/>
        </w:rPr>
      </w:pPr>
      <w:r w:rsidRPr="00AF3C75">
        <w:rPr>
          <w:rFonts w:ascii="Corbel" w:hAnsi="Corbel"/>
          <w:sz w:val="22"/>
          <w:szCs w:val="22"/>
          <w:lang w:val="sr-Latn-RS"/>
        </w:rPr>
        <w:t xml:space="preserve">Potrebno je </w:t>
      </w:r>
      <w:r w:rsidRPr="00AF3C75">
        <w:rPr>
          <w:rFonts w:ascii="Corbel" w:hAnsi="Corbel"/>
          <w:b/>
          <w:sz w:val="22"/>
          <w:szCs w:val="22"/>
          <w:lang w:val="sr-Latn-RS"/>
        </w:rPr>
        <w:t>unaprediti zakonodavni okvir tako što će se usvojiti Pravilnik o upravljanju biorazgradivim otpadom za objekte masovne ishrane</w:t>
      </w:r>
      <w:r w:rsidRPr="00AF3C75">
        <w:rPr>
          <w:rFonts w:ascii="Corbel" w:hAnsi="Corbel"/>
          <w:sz w:val="22"/>
          <w:szCs w:val="22"/>
          <w:lang w:val="sr-Latn-RS"/>
        </w:rPr>
        <w:t xml:space="preserve"> (one koji proizvode više od 50 obroka dnevno – restorane, kafiće, hotele, bolnice, vrtiće…). </w:t>
      </w:r>
    </w:p>
    <w:p w14:paraId="521AE0E5" w14:textId="77777777" w:rsidR="00AF3C75" w:rsidRDefault="00AF3C75" w:rsidP="00AF3C75">
      <w:pPr>
        <w:jc w:val="both"/>
        <w:rPr>
          <w:rFonts w:ascii="Corbel" w:hAnsi="Corbel"/>
          <w:sz w:val="22"/>
          <w:szCs w:val="22"/>
          <w:lang w:val="sr-Latn-RS"/>
        </w:rPr>
      </w:pPr>
    </w:p>
    <w:p w14:paraId="5F1463D2" w14:textId="7CB54B68" w:rsidR="00AF3C75" w:rsidRPr="00AF3C75" w:rsidRDefault="00AF3C75" w:rsidP="00AF3C75">
      <w:pPr>
        <w:jc w:val="both"/>
        <w:rPr>
          <w:rFonts w:ascii="Corbel" w:hAnsi="Corbel"/>
          <w:sz w:val="22"/>
          <w:szCs w:val="22"/>
          <w:lang w:val="sr-Latn-RS"/>
        </w:rPr>
      </w:pPr>
      <w:r w:rsidRPr="00AF3C75">
        <w:rPr>
          <w:rFonts w:ascii="Corbel" w:hAnsi="Corbel"/>
          <w:sz w:val="22"/>
          <w:szCs w:val="22"/>
          <w:lang w:val="sr-Latn-RS"/>
        </w:rPr>
        <w:t xml:space="preserve">Unapređenje sistema za upravljanje otpadom od hrane u Srbiji trebalo bi početi </w:t>
      </w:r>
      <w:r w:rsidRPr="00AF3C75">
        <w:rPr>
          <w:rFonts w:ascii="Corbel" w:hAnsi="Corbel"/>
          <w:b/>
          <w:sz w:val="22"/>
          <w:szCs w:val="22"/>
          <w:lang w:val="sr-Latn-RS"/>
        </w:rPr>
        <w:t>uvođenjem obaveza za razvrstavanje i sakupljanje ovog otpada u objektima masovne ishrane</w:t>
      </w:r>
      <w:r w:rsidRPr="00AF3C75">
        <w:rPr>
          <w:rFonts w:ascii="Corbel" w:hAnsi="Corbel"/>
          <w:sz w:val="22"/>
          <w:szCs w:val="22"/>
          <w:lang w:val="sr-Latn-RS"/>
        </w:rPr>
        <w:t xml:space="preserve">, a paralelno sa tim, raditi na </w:t>
      </w:r>
      <w:r w:rsidRPr="00AF3C75">
        <w:rPr>
          <w:rFonts w:ascii="Corbel" w:hAnsi="Corbel"/>
          <w:b/>
          <w:sz w:val="22"/>
          <w:szCs w:val="22"/>
          <w:lang w:val="sr-Latn-RS"/>
        </w:rPr>
        <w:t>edukaciji celokupnog stanovništva</w:t>
      </w:r>
      <w:r w:rsidRPr="00AF3C75">
        <w:rPr>
          <w:rFonts w:ascii="Corbel" w:hAnsi="Corbel"/>
          <w:sz w:val="22"/>
          <w:szCs w:val="22"/>
          <w:lang w:val="sr-Latn-RS"/>
        </w:rPr>
        <w:t xml:space="preserve"> o značaju i benefitima sakupljanja  i prerade otpada do hrane.</w:t>
      </w:r>
    </w:p>
    <w:p w14:paraId="4ADD4DA5" w14:textId="77777777" w:rsidR="00AF3C75" w:rsidRDefault="00AF3C75" w:rsidP="00AF3C75">
      <w:pPr>
        <w:jc w:val="both"/>
        <w:rPr>
          <w:rFonts w:ascii="Corbel" w:hAnsi="Corbel"/>
          <w:sz w:val="22"/>
          <w:szCs w:val="22"/>
          <w:lang w:val="sr-Latn-RS"/>
        </w:rPr>
      </w:pPr>
    </w:p>
    <w:p w14:paraId="684F821F" w14:textId="3AF354F1" w:rsidR="00AF3C75" w:rsidRDefault="00AF3C75" w:rsidP="00AF3C75">
      <w:pPr>
        <w:jc w:val="both"/>
        <w:rPr>
          <w:rFonts w:ascii="Corbel" w:hAnsi="Corbel"/>
          <w:b/>
          <w:lang w:val="sr-Latn-RS"/>
        </w:rPr>
      </w:pPr>
      <w:r w:rsidRPr="00AF3C75">
        <w:rPr>
          <w:rFonts w:ascii="Corbel" w:hAnsi="Corbel"/>
          <w:b/>
          <w:lang w:val="sr-Latn-RS"/>
        </w:rPr>
        <w:lastRenderedPageBreak/>
        <w:t>Nosioci projekta</w:t>
      </w:r>
    </w:p>
    <w:p w14:paraId="240E86EE" w14:textId="77777777" w:rsidR="00AF3C75" w:rsidRDefault="00AF3C75" w:rsidP="00AF3C75">
      <w:pPr>
        <w:jc w:val="both"/>
        <w:rPr>
          <w:rFonts w:ascii="Corbel" w:hAnsi="Corbel"/>
          <w:b/>
          <w:lang w:val="sr-Latn-RS"/>
        </w:rPr>
      </w:pPr>
    </w:p>
    <w:p w14:paraId="5C5B2915" w14:textId="356542B3" w:rsidR="00AF3C75" w:rsidRDefault="00AF3C75" w:rsidP="00AF3C75">
      <w:pPr>
        <w:jc w:val="both"/>
        <w:rPr>
          <w:rFonts w:ascii="Corbel" w:hAnsi="Corbel"/>
          <w:sz w:val="22"/>
          <w:szCs w:val="22"/>
          <w:lang w:val="sr-Latn-RS"/>
        </w:rPr>
      </w:pPr>
      <w:r w:rsidRPr="00AF3C75">
        <w:rPr>
          <w:rFonts w:ascii="Corbel" w:hAnsi="Corbel"/>
          <w:sz w:val="22"/>
          <w:szCs w:val="22"/>
          <w:lang w:val="sr-Latn-RS"/>
        </w:rPr>
        <w:t xml:space="preserve">Nosioci projekta su Nacionalna alijansa za lokalni ekonomski razvoj – NALED, Nemačka organizacija za međunarodnu saradnju – GIZ i kompanija </w:t>
      </w:r>
      <w:hyperlink r:id="rId7" w:history="1">
        <w:proofErr w:type="spellStart"/>
        <w:r w:rsidRPr="00017DDF">
          <w:rPr>
            <w:rStyle w:val="Hyperlink"/>
            <w:rFonts w:ascii="Corbel" w:hAnsi="Corbel"/>
            <w:sz w:val="22"/>
            <w:szCs w:val="22"/>
            <w:lang w:val="sr-Latn-RS"/>
          </w:rPr>
          <w:t>Esotron</w:t>
        </w:r>
        <w:proofErr w:type="spellEnd"/>
      </w:hyperlink>
      <w:r w:rsidRPr="00AF3C75">
        <w:rPr>
          <w:rFonts w:ascii="Corbel" w:hAnsi="Corbel"/>
          <w:sz w:val="22"/>
          <w:szCs w:val="22"/>
          <w:lang w:val="sr-Latn-RS"/>
        </w:rPr>
        <w:t xml:space="preserve"> (čija je osnovna delatnost sakupljanje otpadnog jestivog ulja i sakupljanje i prerada neopasnog organskog otpada).</w:t>
      </w:r>
      <w:r w:rsidR="004E7CFA">
        <w:rPr>
          <w:rFonts w:ascii="Corbel" w:hAnsi="Corbel"/>
          <w:sz w:val="22"/>
          <w:szCs w:val="22"/>
          <w:lang w:val="sr-Latn-RS"/>
        </w:rPr>
        <w:t xml:space="preserve"> </w:t>
      </w:r>
      <w:r w:rsidRPr="00AF3C75">
        <w:rPr>
          <w:rFonts w:ascii="Corbel" w:hAnsi="Corbel"/>
          <w:sz w:val="22"/>
          <w:szCs w:val="22"/>
          <w:lang w:val="sr-Latn-RS"/>
        </w:rPr>
        <w:t>Projekat je podržan od strane državnih institucija – Ministarstva zaštite životne sredine, Ministarstva poljoprivrede, šumarstva i vodoprivrede, Agencije za zaštitu životne sredine, Uprave za veterinu i inspekcijskih organa.</w:t>
      </w:r>
      <w:r w:rsidR="004E7CFA">
        <w:rPr>
          <w:rFonts w:ascii="Corbel" w:hAnsi="Corbel"/>
          <w:sz w:val="22"/>
          <w:szCs w:val="22"/>
          <w:lang w:val="sr-Latn-RS"/>
        </w:rPr>
        <w:t xml:space="preserve"> </w:t>
      </w:r>
      <w:r w:rsidRPr="00AF3C75">
        <w:rPr>
          <w:rFonts w:ascii="Corbel" w:hAnsi="Corbel"/>
          <w:sz w:val="22"/>
          <w:szCs w:val="22"/>
          <w:lang w:val="sr-Latn-RS"/>
        </w:rPr>
        <w:t>Projekat finansira Nemačko Savezno Ministarstvo za ekonomsku saradnju i razvoj i kompanija Esotron, kroz program razvojne saradnje sa privatnim sektorom develoPPP.de.</w:t>
      </w:r>
    </w:p>
    <w:p w14:paraId="66A287AA" w14:textId="77777777" w:rsidR="001149A7" w:rsidRDefault="001149A7" w:rsidP="00AF3C75">
      <w:pPr>
        <w:jc w:val="both"/>
        <w:rPr>
          <w:rFonts w:ascii="Corbel" w:hAnsi="Corbel"/>
          <w:sz w:val="22"/>
          <w:szCs w:val="22"/>
          <w:lang w:val="sr-Latn-RS"/>
        </w:rPr>
      </w:pPr>
    </w:p>
    <w:p w14:paraId="4A524EC7" w14:textId="1F04E763" w:rsidR="007E7C81" w:rsidRPr="007E7C81" w:rsidRDefault="007E7C81" w:rsidP="00AF3C75">
      <w:pPr>
        <w:jc w:val="both"/>
        <w:rPr>
          <w:rFonts w:ascii="Corbel" w:hAnsi="Corbel"/>
          <w:b/>
          <w:lang w:val="sr-Latn-RS"/>
        </w:rPr>
      </w:pPr>
      <w:r w:rsidRPr="007E7C81">
        <w:rPr>
          <w:rFonts w:ascii="Corbel" w:hAnsi="Corbel"/>
          <w:b/>
          <w:lang w:val="sr-Latn-RS"/>
        </w:rPr>
        <w:t>Vodič za pravilno upravljanje otpadom od hrane</w:t>
      </w:r>
    </w:p>
    <w:p w14:paraId="52A5002F" w14:textId="77777777" w:rsidR="007E7C81" w:rsidRDefault="007E7C81" w:rsidP="00AF3C75">
      <w:pPr>
        <w:jc w:val="both"/>
        <w:rPr>
          <w:rFonts w:ascii="Corbel" w:hAnsi="Corbel"/>
          <w:sz w:val="22"/>
          <w:szCs w:val="22"/>
          <w:lang w:val="sr-Latn-RS"/>
        </w:rPr>
      </w:pPr>
    </w:p>
    <w:p w14:paraId="3BEB280E" w14:textId="365471E9" w:rsidR="007E7C81" w:rsidRDefault="007E7C81" w:rsidP="00AF3C75">
      <w:pPr>
        <w:jc w:val="both"/>
        <w:rPr>
          <w:rFonts w:ascii="Corbel" w:hAnsi="Corbel"/>
          <w:sz w:val="22"/>
          <w:szCs w:val="22"/>
          <w:lang w:val="sr-Latn-RS"/>
        </w:rPr>
      </w:pPr>
      <w:r w:rsidRPr="007E7C81">
        <w:rPr>
          <w:rFonts w:ascii="Corbel" w:hAnsi="Corbel"/>
          <w:sz w:val="22"/>
          <w:szCs w:val="22"/>
          <w:lang w:val="sr-Latn-RS"/>
        </w:rPr>
        <w:t xml:space="preserve">Kao jedan od prvih koraka u informisanju ugostiteljskih objekata i drugih velikih kuhinja o zbrinjavanju otpada, NALED, Esotron i GIZ su kreirali </w:t>
      </w:r>
      <w:hyperlink r:id="rId8" w:history="1">
        <w:r w:rsidRPr="00330FA4">
          <w:rPr>
            <w:rStyle w:val="Hyperlink"/>
            <w:rFonts w:ascii="Corbel" w:hAnsi="Corbel"/>
            <w:sz w:val="22"/>
            <w:szCs w:val="22"/>
            <w:lang w:val="sr-Latn-RS"/>
          </w:rPr>
          <w:t>Vodič za pravilno upravljanje otpadom od hrane</w:t>
        </w:r>
      </w:hyperlink>
      <w:r w:rsidRPr="007E7C81">
        <w:rPr>
          <w:rFonts w:ascii="Corbel" w:hAnsi="Corbel"/>
          <w:sz w:val="22"/>
          <w:szCs w:val="22"/>
          <w:lang w:val="sr-Latn-RS"/>
        </w:rPr>
        <w:t xml:space="preserve"> koji nudi praktične savete.</w:t>
      </w:r>
      <w:r w:rsidR="009B5252">
        <w:rPr>
          <w:rFonts w:ascii="Corbel" w:hAnsi="Corbel"/>
          <w:sz w:val="22"/>
          <w:szCs w:val="22"/>
          <w:lang w:val="sr-Latn-RS"/>
        </w:rPr>
        <w:t xml:space="preserve"> </w:t>
      </w:r>
    </w:p>
    <w:p w14:paraId="626AC6C9" w14:textId="77777777" w:rsidR="00330FA4" w:rsidRDefault="00330FA4" w:rsidP="00AF3C75">
      <w:pPr>
        <w:jc w:val="both"/>
        <w:rPr>
          <w:rFonts w:ascii="Corbel" w:hAnsi="Corbel"/>
          <w:sz w:val="22"/>
          <w:szCs w:val="22"/>
          <w:lang w:val="sr-Latn-RS"/>
        </w:rPr>
      </w:pPr>
    </w:p>
    <w:p w14:paraId="3558F04D" w14:textId="3007874D" w:rsidR="00330FA4" w:rsidRDefault="00330FA4" w:rsidP="00AF3C75">
      <w:pPr>
        <w:jc w:val="both"/>
        <w:rPr>
          <w:rFonts w:ascii="Corbel" w:hAnsi="Corbel"/>
          <w:b/>
          <w:lang w:val="sr-Latn-RS"/>
        </w:rPr>
      </w:pPr>
      <w:r w:rsidRPr="00330FA4">
        <w:rPr>
          <w:rFonts w:ascii="Corbel" w:hAnsi="Corbel"/>
          <w:b/>
          <w:lang w:val="sr-Latn-RS"/>
        </w:rPr>
        <w:t>Policy brief</w:t>
      </w:r>
    </w:p>
    <w:p w14:paraId="2BDE59D5" w14:textId="77777777" w:rsidR="00330FA4" w:rsidRDefault="00330FA4" w:rsidP="00AF3C75">
      <w:pPr>
        <w:jc w:val="both"/>
        <w:rPr>
          <w:rFonts w:ascii="Corbel" w:hAnsi="Corbel"/>
          <w:b/>
          <w:lang w:val="sr-Latn-RS"/>
        </w:rPr>
      </w:pPr>
    </w:p>
    <w:p w14:paraId="0C291773" w14:textId="23DB1A72" w:rsidR="00330FA4" w:rsidRPr="00330FA4" w:rsidRDefault="004E7CFA" w:rsidP="00AF3C75">
      <w:pPr>
        <w:jc w:val="both"/>
        <w:rPr>
          <w:rFonts w:ascii="Corbel" w:hAnsi="Corbel"/>
          <w:sz w:val="22"/>
          <w:szCs w:val="22"/>
          <w:lang w:val="sr-Latn-RS"/>
        </w:rPr>
      </w:pPr>
      <w:r>
        <w:rPr>
          <w:rFonts w:ascii="Corbel" w:hAnsi="Corbel"/>
          <w:sz w:val="22"/>
          <w:szCs w:val="22"/>
          <w:lang w:val="sr-Latn-RS"/>
        </w:rPr>
        <w:t xml:space="preserve">U okviru projekta je pripremljen i </w:t>
      </w:r>
      <w:hyperlink r:id="rId9" w:history="1">
        <w:proofErr w:type="spellStart"/>
        <w:r w:rsidRPr="004E7CFA">
          <w:rPr>
            <w:rStyle w:val="Hyperlink"/>
            <w:rFonts w:ascii="Corbel" w:hAnsi="Corbel"/>
            <w:sz w:val="22"/>
            <w:szCs w:val="22"/>
            <w:lang w:val="sr-Latn-RS"/>
          </w:rPr>
          <w:t>Policy</w:t>
        </w:r>
        <w:proofErr w:type="spellEnd"/>
        <w:r w:rsidRPr="004E7CFA">
          <w:rPr>
            <w:rStyle w:val="Hyperlink"/>
            <w:rFonts w:ascii="Corbel" w:hAnsi="Corbel"/>
            <w:sz w:val="22"/>
            <w:szCs w:val="22"/>
            <w:lang w:val="sr-Latn-RS"/>
          </w:rPr>
          <w:t xml:space="preserve"> </w:t>
        </w:r>
        <w:proofErr w:type="spellStart"/>
        <w:r w:rsidRPr="004E7CFA">
          <w:rPr>
            <w:rStyle w:val="Hyperlink"/>
            <w:rFonts w:ascii="Corbel" w:hAnsi="Corbel"/>
            <w:sz w:val="22"/>
            <w:szCs w:val="22"/>
            <w:lang w:val="sr-Latn-RS"/>
          </w:rPr>
          <w:t>brief</w:t>
        </w:r>
        <w:proofErr w:type="spellEnd"/>
      </w:hyperlink>
      <w:r>
        <w:rPr>
          <w:rFonts w:ascii="Corbel" w:hAnsi="Corbel"/>
          <w:sz w:val="22"/>
          <w:szCs w:val="22"/>
          <w:lang w:val="sr-Latn-RS"/>
        </w:rPr>
        <w:t xml:space="preserve"> koji sadrži najvažnije informacije o trenutnom stanju u oblasti upravljanja otpadom od hrane u Srbiji, kao i predloge za unapređenje sistema.</w:t>
      </w:r>
    </w:p>
    <w:p w14:paraId="295795AD" w14:textId="24A4BEBB" w:rsidR="001149A7" w:rsidRDefault="001149A7" w:rsidP="00AF3C75">
      <w:pPr>
        <w:jc w:val="both"/>
        <w:rPr>
          <w:rFonts w:ascii="Corbel" w:hAnsi="Corbel"/>
          <w:sz w:val="22"/>
          <w:szCs w:val="22"/>
          <w:lang w:val="sr-Latn-RS"/>
        </w:rPr>
      </w:pPr>
    </w:p>
    <w:p w14:paraId="09227DEE" w14:textId="0D6F6810" w:rsidR="00017DDF" w:rsidRDefault="00017DDF" w:rsidP="00017DDF">
      <w:pPr>
        <w:jc w:val="both"/>
        <w:rPr>
          <w:rFonts w:ascii="Corbel" w:hAnsi="Corbel"/>
          <w:b/>
          <w:lang w:val="sr-Latn-RS"/>
        </w:rPr>
      </w:pPr>
      <w:r>
        <w:rPr>
          <w:rFonts w:ascii="Corbel" w:hAnsi="Corbel"/>
          <w:b/>
          <w:lang w:val="sr-Latn-RS"/>
        </w:rPr>
        <w:t>Izazov prikupljanja 1.000 tona otpada od hrane</w:t>
      </w:r>
    </w:p>
    <w:p w14:paraId="05F7EBDB" w14:textId="77777777" w:rsidR="00017DDF" w:rsidRDefault="00017DDF" w:rsidP="00017DDF">
      <w:pPr>
        <w:jc w:val="both"/>
        <w:rPr>
          <w:rFonts w:ascii="Corbel" w:hAnsi="Corbel"/>
          <w:b/>
          <w:lang w:val="sr-Latn-RS"/>
        </w:rPr>
      </w:pPr>
    </w:p>
    <w:p w14:paraId="131FF353" w14:textId="35352711" w:rsidR="00017DDF" w:rsidRDefault="00017DDF" w:rsidP="00017DDF">
      <w:pPr>
        <w:jc w:val="both"/>
        <w:rPr>
          <w:rFonts w:ascii="Corbel" w:hAnsi="Corbel"/>
          <w:sz w:val="22"/>
          <w:szCs w:val="22"/>
          <w:lang w:val="sr-Latn-RS"/>
        </w:rPr>
      </w:pPr>
      <w:r>
        <w:rPr>
          <w:rFonts w:ascii="Corbel" w:hAnsi="Corbel"/>
          <w:sz w:val="22"/>
          <w:szCs w:val="22"/>
          <w:lang w:val="sr-Latn-RS"/>
        </w:rPr>
        <w:t xml:space="preserve">NALED je </w:t>
      </w:r>
      <w:r w:rsidRPr="00017DDF">
        <w:rPr>
          <w:rFonts w:ascii="Corbel" w:hAnsi="Corbel"/>
          <w:sz w:val="22"/>
          <w:szCs w:val="22"/>
          <w:lang w:val="sr-Latn-RS"/>
        </w:rPr>
        <w:t>u saradnji sa kompanijom Eso</w:t>
      </w:r>
      <w:r w:rsidR="00736ED2">
        <w:rPr>
          <w:rFonts w:ascii="Corbel" w:hAnsi="Corbel"/>
          <w:sz w:val="22"/>
          <w:szCs w:val="22"/>
          <w:lang w:val="sr-Latn-RS"/>
        </w:rPr>
        <w:t>t</w:t>
      </w:r>
      <w:r w:rsidRPr="00017DDF">
        <w:rPr>
          <w:rFonts w:ascii="Corbel" w:hAnsi="Corbel"/>
          <w:sz w:val="22"/>
          <w:szCs w:val="22"/>
          <w:lang w:val="sr-Latn-RS"/>
        </w:rPr>
        <w:t xml:space="preserve">ron i uz podršku </w:t>
      </w:r>
      <w:r w:rsidR="00736ED2">
        <w:rPr>
          <w:rFonts w:ascii="Corbel" w:hAnsi="Corbel"/>
          <w:sz w:val="22"/>
          <w:szCs w:val="22"/>
          <w:lang w:val="sr-Latn-RS"/>
        </w:rPr>
        <w:t>GIZ-a</w:t>
      </w:r>
      <w:r w:rsidRPr="00017DDF">
        <w:rPr>
          <w:rFonts w:ascii="Corbel" w:hAnsi="Corbel"/>
          <w:sz w:val="22"/>
          <w:szCs w:val="22"/>
          <w:lang w:val="sr-Latn-RS"/>
        </w:rPr>
        <w:t xml:space="preserve"> 1. novembra </w:t>
      </w:r>
      <w:r w:rsidR="00736ED2" w:rsidRPr="00017DDF">
        <w:rPr>
          <w:rFonts w:ascii="Corbel" w:hAnsi="Corbel"/>
          <w:sz w:val="22"/>
          <w:szCs w:val="22"/>
          <w:lang w:val="sr-Latn-RS"/>
        </w:rPr>
        <w:t>pokre</w:t>
      </w:r>
      <w:r w:rsidR="00736ED2">
        <w:rPr>
          <w:rFonts w:ascii="Corbel" w:hAnsi="Corbel"/>
          <w:sz w:val="22"/>
          <w:szCs w:val="22"/>
          <w:lang w:val="sr-Latn-RS"/>
        </w:rPr>
        <w:t>nuo</w:t>
      </w:r>
      <w:r w:rsidR="00736ED2" w:rsidRPr="00017DDF">
        <w:rPr>
          <w:rFonts w:ascii="Corbel" w:hAnsi="Corbel"/>
          <w:sz w:val="22"/>
          <w:szCs w:val="22"/>
          <w:lang w:val="sr-Latn-RS"/>
        </w:rPr>
        <w:t xml:space="preserve"> </w:t>
      </w:r>
      <w:r w:rsidRPr="00017DDF">
        <w:rPr>
          <w:rFonts w:ascii="Corbel" w:hAnsi="Corbel"/>
          <w:sz w:val="22"/>
          <w:szCs w:val="22"/>
          <w:lang w:val="sr-Latn-RS"/>
        </w:rPr>
        <w:t>jednogodišnju akciju prikupljanja 1.000 tona otpada od hrane, sa ciljem smanjenja emisije 750 tona ugljen-dioksida.</w:t>
      </w:r>
      <w:r w:rsidR="00736ED2">
        <w:rPr>
          <w:rFonts w:ascii="Corbel" w:hAnsi="Corbel"/>
          <w:sz w:val="22"/>
          <w:szCs w:val="22"/>
          <w:lang w:val="sr-Latn-RS"/>
        </w:rPr>
        <w:t xml:space="preserve"> </w:t>
      </w:r>
      <w:r w:rsidR="00736ED2" w:rsidRPr="00736ED2">
        <w:rPr>
          <w:rFonts w:ascii="Corbel" w:hAnsi="Corbel"/>
          <w:sz w:val="22"/>
          <w:szCs w:val="22"/>
          <w:lang w:val="sr-Latn-RS"/>
        </w:rPr>
        <w:t>U izazovu mogu učestvovati sve organizacije i preduzeća koja pripremaju i/ili poslužuju hranu na teritoriji Beograda i Novog Sada, tako što će sav otpad od hrane koji proizvedu predati na zbrinjavanje ovlašćenom operateru sistema upravljanja otpadom</w:t>
      </w:r>
      <w:r w:rsidR="00736ED2">
        <w:rPr>
          <w:rFonts w:ascii="Corbel" w:hAnsi="Corbel"/>
          <w:sz w:val="22"/>
          <w:szCs w:val="22"/>
          <w:lang w:val="sr-Latn-RS"/>
        </w:rPr>
        <w:t>, kompaniji Esotron</w:t>
      </w:r>
      <w:r w:rsidR="00736ED2" w:rsidRPr="00736ED2">
        <w:rPr>
          <w:rFonts w:ascii="Corbel" w:hAnsi="Corbel"/>
          <w:sz w:val="22"/>
          <w:szCs w:val="22"/>
          <w:lang w:val="sr-Latn-RS"/>
        </w:rPr>
        <w:t>.</w:t>
      </w:r>
      <w:r w:rsidR="00736ED2">
        <w:rPr>
          <w:rFonts w:ascii="Corbel" w:hAnsi="Corbel"/>
          <w:sz w:val="22"/>
          <w:szCs w:val="22"/>
          <w:lang w:val="sr-Latn-RS"/>
        </w:rPr>
        <w:t xml:space="preserve"> </w:t>
      </w:r>
      <w:r w:rsidR="00736ED2" w:rsidRPr="00736ED2">
        <w:rPr>
          <w:rFonts w:ascii="Corbel" w:hAnsi="Corbel"/>
          <w:sz w:val="22"/>
          <w:szCs w:val="22"/>
          <w:lang w:val="sr-Latn-RS"/>
        </w:rPr>
        <w:t xml:space="preserve">Prijave za učešće </w:t>
      </w:r>
      <w:r w:rsidR="00736ED2">
        <w:rPr>
          <w:rFonts w:ascii="Corbel" w:hAnsi="Corbel"/>
          <w:sz w:val="22"/>
          <w:szCs w:val="22"/>
          <w:lang w:val="sr-Latn-RS"/>
        </w:rPr>
        <w:t>se mogu poslati</w:t>
      </w:r>
      <w:r w:rsidR="00736ED2" w:rsidRPr="00736ED2">
        <w:rPr>
          <w:rFonts w:ascii="Corbel" w:hAnsi="Corbel"/>
          <w:sz w:val="22"/>
          <w:szCs w:val="22"/>
          <w:lang w:val="sr-Latn-RS"/>
        </w:rPr>
        <w:t xml:space="preserve"> </w:t>
      </w:r>
      <w:proofErr w:type="spellStart"/>
      <w:r w:rsidR="00736ED2" w:rsidRPr="00736ED2">
        <w:rPr>
          <w:rFonts w:ascii="Corbel" w:hAnsi="Corbel"/>
          <w:sz w:val="22"/>
          <w:szCs w:val="22"/>
          <w:lang w:val="sr-Latn-RS"/>
        </w:rPr>
        <w:t>poslati</w:t>
      </w:r>
      <w:proofErr w:type="spellEnd"/>
      <w:r w:rsidR="00736ED2" w:rsidRPr="00736ED2">
        <w:rPr>
          <w:rFonts w:ascii="Corbel" w:hAnsi="Corbel"/>
          <w:sz w:val="22"/>
          <w:szCs w:val="22"/>
          <w:lang w:val="sr-Latn-RS"/>
        </w:rPr>
        <w:t xml:space="preserve"> na </w:t>
      </w:r>
      <w:proofErr w:type="spellStart"/>
      <w:r w:rsidR="00736ED2" w:rsidRPr="00736ED2">
        <w:rPr>
          <w:rFonts w:ascii="Corbel" w:hAnsi="Corbel"/>
          <w:sz w:val="22"/>
          <w:szCs w:val="22"/>
          <w:lang w:val="sr-Latn-RS"/>
        </w:rPr>
        <w:t>mejl</w:t>
      </w:r>
      <w:proofErr w:type="spellEnd"/>
      <w:r w:rsidR="00736ED2" w:rsidRPr="00736ED2">
        <w:rPr>
          <w:rFonts w:ascii="Corbel" w:hAnsi="Corbel"/>
          <w:sz w:val="22"/>
          <w:szCs w:val="22"/>
          <w:lang w:val="sr-Latn-RS"/>
        </w:rPr>
        <w:t xml:space="preserve"> esotron@esotron.rs ili putem telefona 021/621 66 27.</w:t>
      </w:r>
    </w:p>
    <w:p w14:paraId="33E07F49" w14:textId="77777777" w:rsidR="004E7CFA" w:rsidRPr="00017DDF" w:rsidRDefault="004E7CFA" w:rsidP="00017DDF">
      <w:pPr>
        <w:jc w:val="both"/>
        <w:rPr>
          <w:rFonts w:ascii="Corbel" w:hAnsi="Corbel"/>
          <w:sz w:val="22"/>
          <w:szCs w:val="22"/>
          <w:lang w:val="sr-Latn-RS"/>
        </w:rPr>
      </w:pPr>
    </w:p>
    <w:p w14:paraId="374D847D" w14:textId="467FDF1F" w:rsidR="004E7CFA" w:rsidRDefault="004E7CFA" w:rsidP="004E7CFA">
      <w:pPr>
        <w:jc w:val="both"/>
        <w:rPr>
          <w:rFonts w:ascii="Corbel" w:hAnsi="Corbel"/>
          <w:sz w:val="22"/>
          <w:szCs w:val="22"/>
          <w:lang w:val="sr-Latn-RS"/>
        </w:rPr>
      </w:pPr>
      <w:r>
        <w:rPr>
          <w:rFonts w:ascii="Corbel" w:hAnsi="Corbel"/>
          <w:sz w:val="22"/>
          <w:szCs w:val="22"/>
          <w:lang w:val="sr-Latn-RS"/>
        </w:rPr>
        <w:t xml:space="preserve">Sve dodatne informacije o projektu možete pronaći na sajtu </w:t>
      </w:r>
      <w:hyperlink r:id="rId10" w:history="1">
        <w:r w:rsidRPr="001149A7">
          <w:rPr>
            <w:rStyle w:val="Hyperlink"/>
            <w:rFonts w:ascii="Corbel" w:hAnsi="Corbel"/>
            <w:sz w:val="22"/>
            <w:szCs w:val="22"/>
            <w:lang w:val="sr-Latn-RS"/>
          </w:rPr>
          <w:t>otpadodhrane.rs</w:t>
        </w:r>
      </w:hyperlink>
      <w:r>
        <w:rPr>
          <w:rFonts w:ascii="Corbel" w:hAnsi="Corbel"/>
          <w:sz w:val="22"/>
          <w:szCs w:val="22"/>
          <w:lang w:val="sr-Latn-RS"/>
        </w:rPr>
        <w:t>.</w:t>
      </w:r>
    </w:p>
    <w:p w14:paraId="16C470A7" w14:textId="77777777" w:rsidR="00017DDF" w:rsidRPr="00AF3C75" w:rsidRDefault="00017DDF" w:rsidP="00AF3C75">
      <w:pPr>
        <w:jc w:val="both"/>
        <w:rPr>
          <w:rFonts w:ascii="Corbel" w:hAnsi="Corbel"/>
          <w:sz w:val="22"/>
          <w:szCs w:val="22"/>
          <w:lang w:val="sr-Latn-RS"/>
        </w:rPr>
      </w:pPr>
    </w:p>
    <w:sectPr w:rsidR="00017DDF" w:rsidRPr="00AF3C75" w:rsidSect="001A39FE">
      <w:headerReference w:type="default" r:id="rId11"/>
      <w:footerReference w:type="default" r:id="rId12"/>
      <w:pgSz w:w="12240" w:h="15840"/>
      <w:pgMar w:top="1440" w:right="1080" w:bottom="1440" w:left="1080" w:header="565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4D9B7" w14:textId="77777777" w:rsidR="007B564C" w:rsidRDefault="007B564C" w:rsidP="00A341D2">
      <w:r>
        <w:separator/>
      </w:r>
    </w:p>
  </w:endnote>
  <w:endnote w:type="continuationSeparator" w:id="0">
    <w:p w14:paraId="1F287333" w14:textId="77777777" w:rsidR="007B564C" w:rsidRDefault="007B564C" w:rsidP="00A34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E52A3" w14:textId="77777777" w:rsidR="00A341D2" w:rsidRDefault="00A341D2" w:rsidP="00A341D2">
    <w:pPr>
      <w:pStyle w:val="Footer"/>
      <w:jc w:val="center"/>
    </w:pPr>
    <w:r>
      <w:rPr>
        <w:noProof/>
      </w:rPr>
      <w:drawing>
        <wp:inline distT="0" distB="0" distL="0" distR="0" wp14:anchorId="34186DDA" wp14:editId="283B21DC">
          <wp:extent cx="1516472" cy="18044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237" cy="193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D2648" w14:textId="77777777" w:rsidR="007B564C" w:rsidRDefault="007B564C" w:rsidP="00A341D2">
      <w:r>
        <w:separator/>
      </w:r>
    </w:p>
  </w:footnote>
  <w:footnote w:type="continuationSeparator" w:id="0">
    <w:p w14:paraId="03D81BBA" w14:textId="77777777" w:rsidR="007B564C" w:rsidRDefault="007B564C" w:rsidP="00A34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B4B91" w14:textId="77777777" w:rsidR="00A341D2" w:rsidRDefault="00A341D2" w:rsidP="00A341D2">
    <w:pPr>
      <w:pStyle w:val="Header"/>
      <w:jc w:val="center"/>
    </w:pPr>
    <w:r>
      <w:rPr>
        <w:noProof/>
      </w:rPr>
      <w:drawing>
        <wp:inline distT="0" distB="0" distL="0" distR="0" wp14:anchorId="6151D4E3" wp14:editId="1B60F09E">
          <wp:extent cx="3539905" cy="710628"/>
          <wp:effectExtent l="0" t="0" r="381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8942" cy="71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6EF90D" w14:textId="77777777" w:rsidR="00A341D2" w:rsidRDefault="00A341D2" w:rsidP="00A341D2">
    <w:pPr>
      <w:pStyle w:val="Header"/>
      <w:jc w:val="center"/>
    </w:pPr>
  </w:p>
  <w:p w14:paraId="55555FD5" w14:textId="77777777" w:rsidR="00A341D2" w:rsidRDefault="00A341D2" w:rsidP="00A341D2">
    <w:pPr>
      <w:pStyle w:val="Header"/>
      <w:jc w:val="center"/>
    </w:pPr>
    <w:r>
      <w:rPr>
        <w:noProof/>
      </w:rPr>
      <w:drawing>
        <wp:inline distT="0" distB="0" distL="0" distR="0" wp14:anchorId="70FBA34E" wp14:editId="00B4D33D">
          <wp:extent cx="3398876" cy="908547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et 1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8452" cy="927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D1D48"/>
    <w:multiLevelType w:val="hybridMultilevel"/>
    <w:tmpl w:val="0F8E3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35949"/>
    <w:multiLevelType w:val="hybridMultilevel"/>
    <w:tmpl w:val="4C18C4FA"/>
    <w:lvl w:ilvl="0" w:tplc="FDA652C2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755B5"/>
    <w:multiLevelType w:val="multilevel"/>
    <w:tmpl w:val="6E5A01C4"/>
    <w:lvl w:ilvl="0">
      <w:start w:val="1"/>
      <w:numFmt w:val="decimal"/>
      <w:lvlText w:val="%1.0"/>
      <w:lvlJc w:val="left"/>
      <w:pPr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65693B2D"/>
    <w:multiLevelType w:val="hybridMultilevel"/>
    <w:tmpl w:val="DE1EC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5E0"/>
    <w:rsid w:val="00017DDF"/>
    <w:rsid w:val="00025C1C"/>
    <w:rsid w:val="000436C6"/>
    <w:rsid w:val="0006130D"/>
    <w:rsid w:val="00074EF4"/>
    <w:rsid w:val="00076471"/>
    <w:rsid w:val="000802B7"/>
    <w:rsid w:val="000A7457"/>
    <w:rsid w:val="000D470D"/>
    <w:rsid w:val="000E1E3B"/>
    <w:rsid w:val="00106718"/>
    <w:rsid w:val="001149A7"/>
    <w:rsid w:val="00120F40"/>
    <w:rsid w:val="00134E52"/>
    <w:rsid w:val="00135B05"/>
    <w:rsid w:val="001360DA"/>
    <w:rsid w:val="001416AC"/>
    <w:rsid w:val="00147CD6"/>
    <w:rsid w:val="001658F7"/>
    <w:rsid w:val="001831CB"/>
    <w:rsid w:val="0018595B"/>
    <w:rsid w:val="001925AA"/>
    <w:rsid w:val="001A39FE"/>
    <w:rsid w:val="001A5FB7"/>
    <w:rsid w:val="001A7097"/>
    <w:rsid w:val="001C082C"/>
    <w:rsid w:val="001E607A"/>
    <w:rsid w:val="002120CC"/>
    <w:rsid w:val="0022358D"/>
    <w:rsid w:val="00223F97"/>
    <w:rsid w:val="00265138"/>
    <w:rsid w:val="00287219"/>
    <w:rsid w:val="002872B0"/>
    <w:rsid w:val="00292EAA"/>
    <w:rsid w:val="002A783C"/>
    <w:rsid w:val="002C1AEF"/>
    <w:rsid w:val="002C6358"/>
    <w:rsid w:val="002C68AF"/>
    <w:rsid w:val="002D25B1"/>
    <w:rsid w:val="002E254A"/>
    <w:rsid w:val="00304973"/>
    <w:rsid w:val="003202FC"/>
    <w:rsid w:val="00326890"/>
    <w:rsid w:val="00330FA4"/>
    <w:rsid w:val="00343146"/>
    <w:rsid w:val="003661E5"/>
    <w:rsid w:val="003701A5"/>
    <w:rsid w:val="003964A1"/>
    <w:rsid w:val="003A6DF0"/>
    <w:rsid w:val="003B504A"/>
    <w:rsid w:val="003B52F4"/>
    <w:rsid w:val="003B76A8"/>
    <w:rsid w:val="003D6671"/>
    <w:rsid w:val="004156DD"/>
    <w:rsid w:val="004269C9"/>
    <w:rsid w:val="00437DF4"/>
    <w:rsid w:val="004473BF"/>
    <w:rsid w:val="00463345"/>
    <w:rsid w:val="0046738C"/>
    <w:rsid w:val="00491470"/>
    <w:rsid w:val="0049465C"/>
    <w:rsid w:val="00497AA2"/>
    <w:rsid w:val="004B2160"/>
    <w:rsid w:val="004B62BE"/>
    <w:rsid w:val="004E7A32"/>
    <w:rsid w:val="004E7CFA"/>
    <w:rsid w:val="005019DC"/>
    <w:rsid w:val="0051375B"/>
    <w:rsid w:val="00521D9B"/>
    <w:rsid w:val="005507A8"/>
    <w:rsid w:val="00554FED"/>
    <w:rsid w:val="00557A8B"/>
    <w:rsid w:val="00562B08"/>
    <w:rsid w:val="00572A11"/>
    <w:rsid w:val="00592E8B"/>
    <w:rsid w:val="005A1619"/>
    <w:rsid w:val="005A3112"/>
    <w:rsid w:val="005A3959"/>
    <w:rsid w:val="005A3CFC"/>
    <w:rsid w:val="005A4B12"/>
    <w:rsid w:val="005B3773"/>
    <w:rsid w:val="005C4CBB"/>
    <w:rsid w:val="005C576E"/>
    <w:rsid w:val="005F0FA9"/>
    <w:rsid w:val="006045E0"/>
    <w:rsid w:val="0062729C"/>
    <w:rsid w:val="00652928"/>
    <w:rsid w:val="00652BDF"/>
    <w:rsid w:val="00660867"/>
    <w:rsid w:val="006616D0"/>
    <w:rsid w:val="00666A4F"/>
    <w:rsid w:val="00694CA9"/>
    <w:rsid w:val="006958C8"/>
    <w:rsid w:val="006A6727"/>
    <w:rsid w:val="006A6D15"/>
    <w:rsid w:val="006B677C"/>
    <w:rsid w:val="006D026A"/>
    <w:rsid w:val="006E1332"/>
    <w:rsid w:val="006F5279"/>
    <w:rsid w:val="00705E95"/>
    <w:rsid w:val="00710BAE"/>
    <w:rsid w:val="007242CF"/>
    <w:rsid w:val="00736ED2"/>
    <w:rsid w:val="0077147C"/>
    <w:rsid w:val="007859CD"/>
    <w:rsid w:val="00785D24"/>
    <w:rsid w:val="00794710"/>
    <w:rsid w:val="007A4490"/>
    <w:rsid w:val="007B240A"/>
    <w:rsid w:val="007B564C"/>
    <w:rsid w:val="007C2A3F"/>
    <w:rsid w:val="007C3671"/>
    <w:rsid w:val="007C3A1E"/>
    <w:rsid w:val="007E72BE"/>
    <w:rsid w:val="007E7C81"/>
    <w:rsid w:val="007F0094"/>
    <w:rsid w:val="007F4E34"/>
    <w:rsid w:val="007F6BC9"/>
    <w:rsid w:val="008052AB"/>
    <w:rsid w:val="0081241A"/>
    <w:rsid w:val="00822DD2"/>
    <w:rsid w:val="00823A9E"/>
    <w:rsid w:val="008433C9"/>
    <w:rsid w:val="00857F12"/>
    <w:rsid w:val="008700CF"/>
    <w:rsid w:val="00870C52"/>
    <w:rsid w:val="00870FBF"/>
    <w:rsid w:val="00890D43"/>
    <w:rsid w:val="00893F93"/>
    <w:rsid w:val="00896FE6"/>
    <w:rsid w:val="008C4C15"/>
    <w:rsid w:val="008D1F6B"/>
    <w:rsid w:val="008E2FDF"/>
    <w:rsid w:val="008F180C"/>
    <w:rsid w:val="00920B46"/>
    <w:rsid w:val="00921D0B"/>
    <w:rsid w:val="00927DB0"/>
    <w:rsid w:val="009301E8"/>
    <w:rsid w:val="00935A0B"/>
    <w:rsid w:val="00942DFB"/>
    <w:rsid w:val="009515A8"/>
    <w:rsid w:val="009574AF"/>
    <w:rsid w:val="0096248F"/>
    <w:rsid w:val="00971464"/>
    <w:rsid w:val="00974318"/>
    <w:rsid w:val="009A02F8"/>
    <w:rsid w:val="009B08AA"/>
    <w:rsid w:val="009B1F9D"/>
    <w:rsid w:val="009B2EF5"/>
    <w:rsid w:val="009B5252"/>
    <w:rsid w:val="009C3041"/>
    <w:rsid w:val="009C4CD7"/>
    <w:rsid w:val="009E3B75"/>
    <w:rsid w:val="009F295A"/>
    <w:rsid w:val="00A13178"/>
    <w:rsid w:val="00A24051"/>
    <w:rsid w:val="00A2619A"/>
    <w:rsid w:val="00A334F1"/>
    <w:rsid w:val="00A33BC4"/>
    <w:rsid w:val="00A341D2"/>
    <w:rsid w:val="00A37152"/>
    <w:rsid w:val="00A43D7B"/>
    <w:rsid w:val="00A46767"/>
    <w:rsid w:val="00A62622"/>
    <w:rsid w:val="00A82A17"/>
    <w:rsid w:val="00A8437F"/>
    <w:rsid w:val="00A85BF0"/>
    <w:rsid w:val="00A900E1"/>
    <w:rsid w:val="00AB4450"/>
    <w:rsid w:val="00AC4F7B"/>
    <w:rsid w:val="00AE400A"/>
    <w:rsid w:val="00AF3C75"/>
    <w:rsid w:val="00AF7636"/>
    <w:rsid w:val="00B118A4"/>
    <w:rsid w:val="00B12AF3"/>
    <w:rsid w:val="00B22CEE"/>
    <w:rsid w:val="00B354FD"/>
    <w:rsid w:val="00B410E7"/>
    <w:rsid w:val="00B411B2"/>
    <w:rsid w:val="00B50C41"/>
    <w:rsid w:val="00B75A59"/>
    <w:rsid w:val="00BA726E"/>
    <w:rsid w:val="00BC1EF9"/>
    <w:rsid w:val="00BC6A6A"/>
    <w:rsid w:val="00BD0564"/>
    <w:rsid w:val="00BD431D"/>
    <w:rsid w:val="00BD5E94"/>
    <w:rsid w:val="00BE15B2"/>
    <w:rsid w:val="00C36A4A"/>
    <w:rsid w:val="00C4069A"/>
    <w:rsid w:val="00C62122"/>
    <w:rsid w:val="00C6345F"/>
    <w:rsid w:val="00C74B8E"/>
    <w:rsid w:val="00C804BF"/>
    <w:rsid w:val="00C84D8C"/>
    <w:rsid w:val="00C94CE5"/>
    <w:rsid w:val="00CC1BD8"/>
    <w:rsid w:val="00CC20DA"/>
    <w:rsid w:val="00CC23D2"/>
    <w:rsid w:val="00CF3211"/>
    <w:rsid w:val="00CF4882"/>
    <w:rsid w:val="00D17689"/>
    <w:rsid w:val="00D25FF6"/>
    <w:rsid w:val="00D502A8"/>
    <w:rsid w:val="00D57C1D"/>
    <w:rsid w:val="00D840F5"/>
    <w:rsid w:val="00D97B22"/>
    <w:rsid w:val="00DD5C4C"/>
    <w:rsid w:val="00DD7C09"/>
    <w:rsid w:val="00DE22D6"/>
    <w:rsid w:val="00DE2CA6"/>
    <w:rsid w:val="00DE5970"/>
    <w:rsid w:val="00DF4D4A"/>
    <w:rsid w:val="00E14135"/>
    <w:rsid w:val="00E2796E"/>
    <w:rsid w:val="00E35B44"/>
    <w:rsid w:val="00E43D74"/>
    <w:rsid w:val="00E44342"/>
    <w:rsid w:val="00E65080"/>
    <w:rsid w:val="00E67808"/>
    <w:rsid w:val="00E83774"/>
    <w:rsid w:val="00E921D8"/>
    <w:rsid w:val="00EC2059"/>
    <w:rsid w:val="00ED2CB8"/>
    <w:rsid w:val="00F0207F"/>
    <w:rsid w:val="00F04C06"/>
    <w:rsid w:val="00F13D56"/>
    <w:rsid w:val="00F30AF7"/>
    <w:rsid w:val="00F324F7"/>
    <w:rsid w:val="00F47178"/>
    <w:rsid w:val="00F554A2"/>
    <w:rsid w:val="00F63700"/>
    <w:rsid w:val="00F74625"/>
    <w:rsid w:val="00F92145"/>
    <w:rsid w:val="00F979BE"/>
    <w:rsid w:val="00FA18CF"/>
    <w:rsid w:val="00FB1981"/>
    <w:rsid w:val="00FB289D"/>
    <w:rsid w:val="00FC061C"/>
    <w:rsid w:val="00FD4B9B"/>
    <w:rsid w:val="00FD66F9"/>
    <w:rsid w:val="00FD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E31B84"/>
  <w14:defaultImageDpi w14:val="32767"/>
  <w15:docId w15:val="{BC35E2D6-EE17-4688-9D3D-C2B8D14B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1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1D2"/>
  </w:style>
  <w:style w:type="paragraph" w:styleId="Footer">
    <w:name w:val="footer"/>
    <w:basedOn w:val="Normal"/>
    <w:link w:val="FooterChar"/>
    <w:uiPriority w:val="99"/>
    <w:unhideWhenUsed/>
    <w:rsid w:val="00A341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1D2"/>
  </w:style>
  <w:style w:type="character" w:styleId="Hyperlink">
    <w:name w:val="Hyperlink"/>
    <w:basedOn w:val="DefaultParagraphFont"/>
    <w:uiPriority w:val="99"/>
    <w:unhideWhenUsed/>
    <w:rsid w:val="006045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4C0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00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0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0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0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0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0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0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2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padodhrane.rs/wp-content/uploads/2020/10/Vodic%CC%8C-za-pravilno-upravljanje-otpadom-od-hrane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otron.r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otpadodhrane.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tpadodhrane.rs/wp-content/uploads/2020/10/Policy_Brief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Simic</dc:creator>
  <cp:lastModifiedBy>Djurdjija Petrovic</cp:lastModifiedBy>
  <cp:revision>9</cp:revision>
  <dcterms:created xsi:type="dcterms:W3CDTF">2020-12-01T15:15:00Z</dcterms:created>
  <dcterms:modified xsi:type="dcterms:W3CDTF">2020-12-15T20:56:00Z</dcterms:modified>
</cp:coreProperties>
</file>